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.01_KSGT_2026_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ohbau- und Erdarbeit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, Rohbau- und Erd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